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CURTAIN WALL</w:t>
      </w:r>
    </w:p>
    <w:p>
      <w:pPr>
        <w:spacing w:after="480"/>
      </w:pPr>
      <w:r>
        <w:rPr>
          <w:rFonts w:ascii="Aptos" w:hAnsi="Aptos"/>
          <w:b w:val="0"/>
          <w:color w:val="5E6B78"/>
          <w:sz w:val="26"/>
        </w:rPr>
        <w:t>Curtain Wall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curtain wall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curtain wall.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Mullions dan transoms</w:t>
      </w:r>
    </w:p>
    <w:p>
      <w:pPr>
        <w:pStyle w:val="ListBullet"/>
        <w:spacing w:after="50"/>
        <w:ind w:left="369" w:hanging="170"/>
      </w:pPr>
      <w:r>
        <w:rPr>
          <w:rFonts w:ascii="Aptos" w:hAnsi="Aptos"/>
          <w:b w:val="0"/>
          <w:color w:val="263442"/>
          <w:sz w:val="19"/>
        </w:rPr>
        <w:t>Glass units</w:t>
      </w:r>
    </w:p>
    <w:p>
      <w:pPr>
        <w:pStyle w:val="ListBullet"/>
        <w:spacing w:after="50"/>
        <w:ind w:left="369" w:hanging="170"/>
      </w:pPr>
      <w:r>
        <w:rPr>
          <w:rFonts w:ascii="Aptos" w:hAnsi="Aptos"/>
          <w:b w:val="0"/>
          <w:color w:val="263442"/>
          <w:sz w:val="19"/>
        </w:rPr>
        <w:t>Brackets dan angkur</w:t>
      </w:r>
    </w:p>
    <w:p>
      <w:pPr>
        <w:pStyle w:val="ListBullet"/>
        <w:spacing w:after="50"/>
        <w:ind w:left="369" w:hanging="170"/>
      </w:pPr>
      <w:r>
        <w:rPr>
          <w:rFonts w:ascii="Aptos" w:hAnsi="Aptos"/>
          <w:b w:val="0"/>
          <w:color w:val="263442"/>
          <w:sz w:val="19"/>
        </w:rPr>
        <w:t>Gaskets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Kebakaran dan smoke barriers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 atau mini crane</w:t>
      </w:r>
    </w:p>
    <w:p>
      <w:pPr>
        <w:pStyle w:val="ListBullet"/>
        <w:spacing w:after="50"/>
        <w:ind w:left="369" w:hanging="170"/>
      </w:pPr>
      <w:r>
        <w:rPr>
          <w:rFonts w:ascii="Aptos" w:hAnsi="Aptos"/>
          <w:b w:val="0"/>
          <w:color w:val="263442"/>
          <w:sz w:val="19"/>
        </w:rPr>
        <w:t>Glass lifter</w:t>
      </w:r>
    </w:p>
    <w:p>
      <w:pPr>
        <w:pStyle w:val="ListBullet"/>
        <w:spacing w:after="50"/>
        <w:ind w:left="369" w:hanging="170"/>
      </w:pPr>
      <w:r>
        <w:rPr>
          <w:rFonts w:ascii="Aptos" w:hAnsi="Aptos"/>
          <w:b w:val="0"/>
          <w:color w:val="263442"/>
          <w:sz w:val="19"/>
        </w:rPr>
        <w:t>MEWP atau cradle</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Sealant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curtain wall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Mullions dan transoms, Glass units, Brackets dan angkur, Gaskets, Sealants, Kebakaran dan smoke barriers.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benchmark mock-up. </w:t>
      </w:r>
      <w:r>
        <w:rPr>
          <w:rFonts w:ascii="Aptos" w:hAnsi="Aptos"/>
          <w:b w:val="0"/>
          <w:color w:val="263442"/>
          <w:sz w:val="19"/>
        </w:rPr>
        <w:t>Luluskan  benchmark mock-up, shop drawings, structural calculations dan uji keperluan.</w:t>
      </w:r>
    </w:p>
    <w:p>
      <w:pPr>
        <w:keepLines/>
        <w:spacing w:after="100" w:line="269" w:lineRule="auto"/>
        <w:ind w:left="369" w:hanging="369"/>
      </w:pPr>
      <w:r>
        <w:rPr>
          <w:rFonts w:ascii="Aptos" w:hAnsi="Aptos"/>
          <w:b/>
          <w:color w:val="071E33"/>
          <w:sz w:val="19"/>
        </w:rPr>
        <w:t xml:space="preserve">2. Jalankan ukur slab edges. </w:t>
      </w:r>
      <w:r>
        <w:rPr>
          <w:rFonts w:ascii="Aptos" w:hAnsi="Aptos"/>
          <w:b w:val="0"/>
          <w:color w:val="263442"/>
          <w:sz w:val="19"/>
        </w:rPr>
        <w:t>Jalankan ukur slab edges dan pasang brackets dan angkur ke  diluluskan setting-out.</w:t>
      </w:r>
    </w:p>
    <w:p>
      <w:pPr>
        <w:keepLines/>
        <w:spacing w:after="100" w:line="269" w:lineRule="auto"/>
        <w:ind w:left="369" w:hanging="369"/>
      </w:pPr>
      <w:r>
        <w:rPr>
          <w:rFonts w:ascii="Aptos" w:hAnsi="Aptos"/>
          <w:b/>
          <w:color w:val="071E33"/>
          <w:sz w:val="19"/>
        </w:rPr>
        <w:t xml:space="preserve">3. Pasang dan jajarkan mullions dan transoms. </w:t>
      </w:r>
      <w:r>
        <w:rPr>
          <w:rFonts w:ascii="Aptos" w:hAnsi="Aptos"/>
          <w:b w:val="0"/>
          <w:color w:val="263442"/>
          <w:sz w:val="19"/>
        </w:rPr>
        <w:t>Pasang dan jajarkan mullions dan transoms sambil maintaining pergerakan allowances.</w:t>
      </w:r>
    </w:p>
    <w:p>
      <w:pPr>
        <w:keepLines/>
        <w:spacing w:after="100" w:line="269" w:lineRule="auto"/>
        <w:ind w:left="369" w:hanging="369"/>
      </w:pPr>
      <w:r>
        <w:rPr>
          <w:rFonts w:ascii="Aptos" w:hAnsi="Aptos"/>
          <w:b/>
          <w:color w:val="071E33"/>
          <w:sz w:val="19"/>
        </w:rPr>
        <w:t xml:space="preserve">4. Pasang kaca units using betul setting blocks. </w:t>
      </w:r>
      <w:r>
        <w:rPr>
          <w:rFonts w:ascii="Aptos" w:hAnsi="Aptos"/>
          <w:b w:val="0"/>
          <w:color w:val="263442"/>
          <w:sz w:val="19"/>
        </w:rPr>
        <w:t>Pasang kaca units using betul setting blocks, tekanan plates, gaskets dan retainers.</w:t>
      </w:r>
    </w:p>
    <w:p>
      <w:pPr>
        <w:keepLines/>
        <w:spacing w:after="100" w:line="269" w:lineRule="auto"/>
        <w:ind w:left="369" w:hanging="369"/>
      </w:pPr>
      <w:r>
        <w:rPr>
          <w:rFonts w:ascii="Aptos" w:hAnsi="Aptos"/>
          <w:b/>
          <w:color w:val="071E33"/>
          <w:sz w:val="19"/>
        </w:rPr>
        <w:t xml:space="preserve">5. Pasang perimeter membranes. </w:t>
      </w:r>
      <w:r>
        <w:rPr>
          <w:rFonts w:ascii="Aptos" w:hAnsi="Aptos"/>
          <w:b w:val="0"/>
          <w:color w:val="263442"/>
          <w:sz w:val="19"/>
        </w:rPr>
        <w:t>Pasang perimeter membranes, kebakaran stops, flashings dan internal seals.</w:t>
      </w:r>
    </w:p>
    <w:p>
      <w:pPr>
        <w:keepLines/>
        <w:spacing w:after="100" w:line="269" w:lineRule="auto"/>
        <w:ind w:left="369" w:hanging="369"/>
      </w:pPr>
      <w:r>
        <w:rPr>
          <w:rFonts w:ascii="Aptos" w:hAnsi="Aptos"/>
          <w:b/>
          <w:color w:val="071E33"/>
          <w:sz w:val="19"/>
        </w:rPr>
        <w:t xml:space="preserve">6. Lengkapkan sealant, pembersihan, ujian air. </w:t>
      </w:r>
      <w:r>
        <w:rPr>
          <w:rFonts w:ascii="Aptos" w:hAnsi="Aptos"/>
          <w:b w:val="0"/>
          <w:color w:val="263442"/>
          <w:sz w:val="19"/>
        </w:rPr>
        <w:t>Lengkapkan sealant, pembersihan, ujian air dan façade jalankan ukur sebelum penyerahan.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mock-up; anchor dan bracket; frame jajaran; glazing support; kebakaran dan perimeter seals; air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glass breakage; beban tergantung; weather; sealant exposure.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Mock-up</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Anchor dan bracket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Frame jajaran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Glazing support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Kebakaran dan perimeter seals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Air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Glass breakage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Weather</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Sealant exposure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Curtain Wall</dc:title>
  <dc:subject>Template penyata kaedah pembinaan yang boleh diedit</dc:subject>
  <dc:creator>Method Statement Hub Malaysia</dc:creator>
  <cp:keywords>curtain wall, façade, glazing</cp:keywords>
  <dc:description>generated by python-docx</dc:description>
  <cp:lastModifiedBy/>
  <cp:revision>1</cp:revision>
  <dcterms:created xsi:type="dcterms:W3CDTF">2013-12-23T23:15:00Z</dcterms:created>
  <dcterms:modified xsi:type="dcterms:W3CDTF">2013-12-23T23:15:00Z</dcterms:modified>
  <cp:category/>
</cp:coreProperties>
</file>